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28DD" w14:textId="77777777" w:rsidR="00AA5974" w:rsidRPr="001B4A04" w:rsidRDefault="00AA5974" w:rsidP="00AA5974">
      <w:pPr>
        <w:pStyle w:val="Corpsdetexte"/>
        <w:jc w:val="center"/>
        <w:rPr>
          <w:rFonts w:ascii="Calibri" w:hAnsi="Calibri" w:cs="Calibri"/>
          <w:color w:val="000000"/>
          <w:lang w:val="fr-FR"/>
        </w:rPr>
      </w:pPr>
      <w:bookmarkStart w:id="0" w:name="_Toc77392477"/>
      <w:bookmarkStart w:id="1" w:name="_Toc216938604"/>
      <w:r w:rsidRPr="001B4A04">
        <w:rPr>
          <w:rFonts w:ascii="Calibri" w:hAnsi="Calibri" w:cs="Calibri"/>
          <w:color w:val="000000"/>
          <w:lang w:val="fr-FR"/>
        </w:rPr>
        <w:t>REPUBLIQUE ISLAMIQUE DE MAURITANIE</w:t>
      </w:r>
    </w:p>
    <w:p w14:paraId="5D985F3B" w14:textId="77777777" w:rsidR="00AA5974" w:rsidRPr="001B4A04" w:rsidRDefault="00AA5974" w:rsidP="00AA5974">
      <w:pPr>
        <w:pStyle w:val="Corpsdetexte"/>
        <w:jc w:val="center"/>
        <w:rPr>
          <w:rFonts w:ascii="Calibri" w:hAnsi="Calibri" w:cs="Calibri"/>
          <w:color w:val="000000"/>
          <w:lang w:val="fr-FR"/>
        </w:rPr>
      </w:pPr>
      <w:r w:rsidRPr="001B4A04">
        <w:rPr>
          <w:rFonts w:ascii="Calibri" w:hAnsi="Calibri" w:cs="Calibri"/>
          <w:color w:val="000000"/>
          <w:lang w:val="fr-FR"/>
        </w:rPr>
        <w:t>Honneur – Fraternité – Justice</w:t>
      </w:r>
    </w:p>
    <w:p w14:paraId="398A3612" w14:textId="77777777" w:rsidR="00AA5974" w:rsidRPr="001B4A04" w:rsidRDefault="00AA5974" w:rsidP="00AA5974">
      <w:pPr>
        <w:pStyle w:val="Corpsdetexte"/>
        <w:jc w:val="center"/>
        <w:rPr>
          <w:rFonts w:ascii="Calibri" w:hAnsi="Calibri" w:cs="Calibri"/>
          <w:color w:val="000000"/>
          <w:lang w:val="fr-FR"/>
        </w:rPr>
      </w:pPr>
      <w:r w:rsidRPr="001B4A04">
        <w:rPr>
          <w:rFonts w:ascii="Calibri" w:hAnsi="Calibri" w:cs="Calibri"/>
          <w:color w:val="000000"/>
          <w:lang w:val="fr-FR"/>
        </w:rPr>
        <w:t>--------- . ---------</w:t>
      </w:r>
    </w:p>
    <w:p w14:paraId="06493000" w14:textId="77777777" w:rsidR="00AA5974" w:rsidRPr="001B4A04" w:rsidRDefault="00AA5974" w:rsidP="00AA5974">
      <w:pPr>
        <w:pStyle w:val="Corpsdetexte"/>
        <w:jc w:val="center"/>
        <w:rPr>
          <w:rFonts w:ascii="Calibri" w:hAnsi="Calibri" w:cs="Calibri"/>
          <w:color w:val="000000"/>
          <w:sz w:val="22"/>
          <w:szCs w:val="22"/>
          <w:lang w:val="fr-FR"/>
        </w:rPr>
      </w:pPr>
      <w:r w:rsidRPr="001B4A04">
        <w:rPr>
          <w:rFonts w:ascii="Calibri" w:hAnsi="Calibri" w:cs="Calibri"/>
          <w:noProof/>
          <w:sz w:val="22"/>
          <w:szCs w:val="22"/>
          <w:lang w:eastAsia="fr-FR"/>
        </w:rPr>
        <w:drawing>
          <wp:anchor distT="0" distB="0" distL="114300" distR="114300" simplePos="0" relativeHeight="251659264" behindDoc="0" locked="0" layoutInCell="1" allowOverlap="1" wp14:anchorId="73B2F9E2" wp14:editId="342944FE">
            <wp:simplePos x="0" y="0"/>
            <wp:positionH relativeFrom="margin">
              <wp:align>center</wp:align>
            </wp:positionH>
            <wp:positionV relativeFrom="paragraph">
              <wp:posOffset>62230</wp:posOffset>
            </wp:positionV>
            <wp:extent cx="967299" cy="975360"/>
            <wp:effectExtent l="0" t="0" r="4445" b="0"/>
            <wp:wrapNone/>
            <wp:docPr id="3" name="Image 3" descr="Une image contenant Emblème, logo, Marque, bad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Emblème, logo, Marque, badge&#10;&#10;Le contenu généré par l’IA peut être incorrect."/>
                    <pic:cNvPicPr/>
                  </pic:nvPicPr>
                  <pic:blipFill rotWithShape="1">
                    <a:blip r:embed="rId5">
                      <a:extLst>
                        <a:ext uri="{28A0092B-C50C-407E-A947-70E740481C1C}">
                          <a14:useLocalDpi xmlns:a14="http://schemas.microsoft.com/office/drawing/2010/main" val="0"/>
                        </a:ext>
                      </a:extLst>
                    </a:blip>
                    <a:srcRect l="23283" t="11016" r="24926" b="10508"/>
                    <a:stretch/>
                  </pic:blipFill>
                  <pic:spPr bwMode="auto">
                    <a:xfrm>
                      <a:off x="0" y="0"/>
                      <a:ext cx="967299" cy="975360"/>
                    </a:xfrm>
                    <a:prstGeom prst="flowChartConnector">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C33336" w14:textId="77777777" w:rsidR="00AA5974" w:rsidRPr="001B4A04" w:rsidRDefault="00AA5974" w:rsidP="00AA5974">
      <w:pPr>
        <w:pStyle w:val="Corpsdetexte"/>
        <w:jc w:val="center"/>
        <w:rPr>
          <w:rFonts w:ascii="Calibri" w:hAnsi="Calibri" w:cs="Calibri"/>
          <w:noProof/>
          <w:sz w:val="22"/>
          <w:szCs w:val="22"/>
          <w:lang w:val="fr-FR"/>
        </w:rPr>
      </w:pPr>
    </w:p>
    <w:p w14:paraId="1B9075D6" w14:textId="77777777" w:rsidR="00AA5974" w:rsidRPr="001B4A04" w:rsidRDefault="00AA5974" w:rsidP="00AA5974">
      <w:pPr>
        <w:pStyle w:val="Corpsdetexte"/>
        <w:jc w:val="center"/>
        <w:rPr>
          <w:rFonts w:ascii="Calibri" w:hAnsi="Calibri" w:cs="Calibri"/>
          <w:noProof/>
          <w:sz w:val="22"/>
          <w:szCs w:val="22"/>
          <w:lang w:val="fr-FR"/>
        </w:rPr>
      </w:pPr>
    </w:p>
    <w:p w14:paraId="100556B5" w14:textId="77777777" w:rsidR="00AA5974" w:rsidRPr="001B4A04" w:rsidRDefault="00AA5974" w:rsidP="00AA5974">
      <w:pPr>
        <w:pStyle w:val="Corpsdetexte"/>
        <w:jc w:val="center"/>
        <w:rPr>
          <w:rFonts w:ascii="Calibri" w:hAnsi="Calibri" w:cs="Calibri"/>
          <w:noProof/>
          <w:sz w:val="22"/>
          <w:szCs w:val="22"/>
          <w:lang w:val="fr-FR"/>
        </w:rPr>
      </w:pPr>
    </w:p>
    <w:p w14:paraId="37DC0791" w14:textId="77777777" w:rsidR="00AA5974" w:rsidRPr="001B4A04" w:rsidRDefault="00AA5974" w:rsidP="00AA5974">
      <w:pPr>
        <w:pStyle w:val="Corpsdetexte"/>
        <w:jc w:val="center"/>
        <w:rPr>
          <w:rFonts w:ascii="Calibri" w:hAnsi="Calibri" w:cs="Calibri"/>
          <w:noProof/>
          <w:sz w:val="22"/>
          <w:szCs w:val="22"/>
          <w:lang w:val="fr-FR"/>
        </w:rPr>
      </w:pPr>
    </w:p>
    <w:p w14:paraId="0F1B06CB" w14:textId="77777777" w:rsidR="00AA5974" w:rsidRPr="001B4A04" w:rsidRDefault="00AA5974" w:rsidP="00AA5974">
      <w:pPr>
        <w:pStyle w:val="Corpsdetexte"/>
        <w:jc w:val="center"/>
        <w:rPr>
          <w:rFonts w:ascii="Calibri" w:hAnsi="Calibri" w:cs="Calibri"/>
          <w:noProof/>
          <w:sz w:val="22"/>
          <w:szCs w:val="22"/>
          <w:lang w:val="fr-FR"/>
        </w:rPr>
      </w:pPr>
    </w:p>
    <w:p w14:paraId="1AE0474E" w14:textId="77777777" w:rsidR="00AA5974" w:rsidRPr="001B4A04" w:rsidRDefault="00AA5974" w:rsidP="00AA5974">
      <w:pPr>
        <w:pStyle w:val="Corpsdetexte"/>
        <w:rPr>
          <w:rFonts w:ascii="Calibri" w:hAnsi="Calibri" w:cs="Calibri"/>
          <w:color w:val="000000"/>
          <w:sz w:val="22"/>
          <w:szCs w:val="22"/>
          <w:u w:val="single"/>
          <w:lang w:val="fr-FR"/>
        </w:rPr>
      </w:pPr>
    </w:p>
    <w:p w14:paraId="291C3F99" w14:textId="77777777" w:rsidR="00AA5974" w:rsidRPr="001B4A04" w:rsidRDefault="00AA5974" w:rsidP="00AA5974">
      <w:pPr>
        <w:pStyle w:val="Corpsdetexte"/>
        <w:jc w:val="center"/>
        <w:rPr>
          <w:rFonts w:ascii="Calibri" w:hAnsi="Calibri" w:cs="Calibri"/>
          <w:b/>
          <w:sz w:val="28"/>
          <w:szCs w:val="28"/>
          <w:lang w:val="fr-FR"/>
        </w:rPr>
      </w:pPr>
      <w:bookmarkStart w:id="2" w:name="_Hlk505903229"/>
      <w:r w:rsidRPr="001B4A04">
        <w:rPr>
          <w:rFonts w:ascii="Calibri" w:hAnsi="Calibri" w:cs="Calibri"/>
          <w:b/>
          <w:color w:val="000000"/>
          <w:sz w:val="28"/>
          <w:szCs w:val="28"/>
          <w:lang w:val="fr-FR"/>
        </w:rPr>
        <w:t>MINISTERE D</w:t>
      </w:r>
      <w:bookmarkEnd w:id="2"/>
      <w:r w:rsidRPr="001B4A04">
        <w:rPr>
          <w:rFonts w:ascii="Calibri" w:hAnsi="Calibri" w:cs="Calibri"/>
          <w:b/>
          <w:sz w:val="28"/>
          <w:szCs w:val="28"/>
          <w:lang w:val="fr-FR"/>
        </w:rPr>
        <w:t>E LA TRANSFORMATION NUMERIQUE ET DE LA MODERNISATION DE L’ADMINISTRATION</w:t>
      </w:r>
    </w:p>
    <w:p w14:paraId="3BC09644" w14:textId="77777777" w:rsidR="00AA5974" w:rsidRPr="001B4A04" w:rsidRDefault="00AA5974" w:rsidP="00AA5974">
      <w:pPr>
        <w:pStyle w:val="Corpsdetexte"/>
        <w:jc w:val="center"/>
        <w:rPr>
          <w:rFonts w:ascii="Calibri" w:hAnsi="Calibri" w:cs="Calibri"/>
          <w:b/>
          <w:lang w:val="fr-FR"/>
        </w:rPr>
      </w:pPr>
    </w:p>
    <w:p w14:paraId="665185B1" w14:textId="77777777" w:rsidR="00AA5974" w:rsidRPr="001B4A04" w:rsidRDefault="00AA5974" w:rsidP="00AA5974">
      <w:pPr>
        <w:spacing w:line="276" w:lineRule="auto"/>
        <w:jc w:val="center"/>
        <w:rPr>
          <w:rFonts w:cs="Calibri"/>
          <w:sz w:val="24"/>
          <w:szCs w:val="24"/>
        </w:rPr>
      </w:pPr>
      <w:r w:rsidRPr="001B4A04">
        <w:rPr>
          <w:rFonts w:cs="Calibri"/>
          <w:sz w:val="24"/>
          <w:szCs w:val="24"/>
        </w:rPr>
        <w:t>Transformation Numérique pour l’Afrique / Programme Régional d’Intégration Numérique en Afrique de l’Ouest</w:t>
      </w:r>
    </w:p>
    <w:p w14:paraId="6082D315" w14:textId="77777777" w:rsidR="00AA5974" w:rsidRPr="001B4A04" w:rsidRDefault="00AA5974" w:rsidP="00AA5974">
      <w:pPr>
        <w:spacing w:line="276" w:lineRule="auto"/>
        <w:jc w:val="center"/>
        <w:rPr>
          <w:rFonts w:cs="Calibri"/>
          <w:sz w:val="24"/>
          <w:szCs w:val="24"/>
        </w:rPr>
      </w:pPr>
      <w:r w:rsidRPr="001B4A04">
        <w:rPr>
          <w:rFonts w:cs="Calibri"/>
          <w:sz w:val="24"/>
          <w:szCs w:val="24"/>
        </w:rPr>
        <w:t>(WARDIP – Composante Mauritanie)</w:t>
      </w:r>
    </w:p>
    <w:p w14:paraId="15E8A92B" w14:textId="77777777" w:rsidR="00AA5974" w:rsidRPr="001B4A04" w:rsidRDefault="00AA5974" w:rsidP="00AA5974">
      <w:pPr>
        <w:spacing w:line="276" w:lineRule="auto"/>
        <w:jc w:val="center"/>
        <w:rPr>
          <w:rFonts w:cs="Calibri"/>
          <w:b/>
          <w:bCs/>
          <w:sz w:val="24"/>
          <w:szCs w:val="24"/>
        </w:rPr>
      </w:pPr>
      <w:r w:rsidRPr="001B4A04">
        <w:rPr>
          <w:rFonts w:cs="Calibri"/>
          <w:b/>
          <w:bCs/>
          <w:sz w:val="24"/>
          <w:szCs w:val="24"/>
        </w:rPr>
        <w:t>Unité de Gestion du Projet WARDIP-Mauritanie</w:t>
      </w:r>
    </w:p>
    <w:p w14:paraId="19AE969D" w14:textId="77777777" w:rsidR="00AA5974" w:rsidRPr="00401514" w:rsidRDefault="00AA5974" w:rsidP="00AA5974">
      <w:pPr>
        <w:pStyle w:val="Corpsdetexte"/>
        <w:jc w:val="center"/>
        <w:rPr>
          <w:rFonts w:ascii="Book Antiqua" w:hAnsi="Book Antiqua" w:cstheme="majorBidi"/>
          <w:b/>
          <w:sz w:val="22"/>
          <w:szCs w:val="22"/>
          <w:lang w:val="fr-FR"/>
        </w:rPr>
      </w:pPr>
    </w:p>
    <w:bookmarkEnd w:id="0"/>
    <w:bookmarkEnd w:id="1"/>
    <w:p w14:paraId="59D4BD28" w14:textId="77777777" w:rsidR="00AA5974" w:rsidRPr="001B4A04" w:rsidRDefault="00AA5974" w:rsidP="00AA5974">
      <w:pPr>
        <w:suppressAutoHyphens/>
        <w:jc w:val="center"/>
        <w:rPr>
          <w:b/>
          <w:bCs/>
          <w:sz w:val="24"/>
          <w:szCs w:val="24"/>
        </w:rPr>
      </w:pPr>
      <w:r w:rsidRPr="001B4A04">
        <w:rPr>
          <w:b/>
          <w:bCs/>
          <w:sz w:val="24"/>
          <w:szCs w:val="24"/>
        </w:rPr>
        <w:t>Demande de Propositions sans Préqualification</w:t>
      </w:r>
    </w:p>
    <w:p w14:paraId="5169833E" w14:textId="77777777" w:rsidR="00AA5974" w:rsidRPr="001B4A04" w:rsidRDefault="00AA5974" w:rsidP="00AA5974">
      <w:pPr>
        <w:suppressAutoHyphens/>
        <w:jc w:val="center"/>
        <w:rPr>
          <w:b/>
          <w:sz w:val="20"/>
          <w:lang w:eastAsia="en-US"/>
        </w:rPr>
      </w:pPr>
      <w:r w:rsidRPr="001B4A04">
        <w:rPr>
          <w:b/>
          <w:sz w:val="20"/>
          <w:lang w:eastAsia="en-US"/>
        </w:rPr>
        <w:t>(Appel à Propositions en une seule étape avec deux enveloppes)</w:t>
      </w:r>
    </w:p>
    <w:p w14:paraId="1E02A2D2" w14:textId="77777777" w:rsidR="00AA5974" w:rsidRDefault="00AA5974" w:rsidP="00AA5974">
      <w:pPr>
        <w:spacing w:line="360" w:lineRule="auto"/>
        <w:ind w:left="-720" w:right="-357"/>
        <w:jc w:val="center"/>
        <w:rPr>
          <w:rFonts w:ascii="Arial" w:hAnsi="Arial" w:cs="Arial"/>
          <w:b/>
          <w:bCs/>
          <w:i/>
          <w:iCs/>
          <w:sz w:val="24"/>
          <w:szCs w:val="24"/>
        </w:rPr>
      </w:pPr>
    </w:p>
    <w:p w14:paraId="0CA8E0EC" w14:textId="244CE8B2" w:rsidR="00AA5974" w:rsidRPr="001B4A04" w:rsidRDefault="00AA5974" w:rsidP="00AA5974">
      <w:pPr>
        <w:spacing w:line="360" w:lineRule="auto"/>
        <w:ind w:left="-720" w:right="-357"/>
        <w:jc w:val="center"/>
        <w:rPr>
          <w:rFonts w:ascii="Arial" w:hAnsi="Arial" w:cs="Arial"/>
          <w:b/>
          <w:bCs/>
          <w:i/>
          <w:iCs/>
          <w:sz w:val="24"/>
          <w:szCs w:val="24"/>
        </w:rPr>
      </w:pPr>
      <w:r w:rsidRPr="00AA5974">
        <w:rPr>
          <w:rFonts w:ascii="Arial" w:hAnsi="Arial" w:cs="Arial"/>
          <w:b/>
          <w:bCs/>
          <w:i/>
          <w:iCs/>
          <w:sz w:val="24"/>
          <w:szCs w:val="24"/>
        </w:rPr>
        <w:t xml:space="preserve">Conception, fourniture, installation et mise en œuvre d’un Système National d’identité numérique et d’infrastructure de certification électronique </w:t>
      </w:r>
      <w:r w:rsidR="009C65C3">
        <w:rPr>
          <w:rFonts w:ascii="Arial" w:hAnsi="Arial" w:cs="Arial"/>
          <w:b/>
          <w:bCs/>
          <w:i/>
          <w:iCs/>
          <w:sz w:val="24"/>
          <w:szCs w:val="24"/>
        </w:rPr>
        <w:t xml:space="preserve">en </w:t>
      </w:r>
      <w:r w:rsidRPr="00AA5974">
        <w:rPr>
          <w:rFonts w:ascii="Arial" w:hAnsi="Arial" w:cs="Arial"/>
          <w:b/>
          <w:bCs/>
          <w:i/>
          <w:iCs/>
          <w:sz w:val="24"/>
          <w:szCs w:val="24"/>
        </w:rPr>
        <w:t>deux</w:t>
      </w:r>
      <w:r w:rsidRPr="00AA5974">
        <w:rPr>
          <w:rFonts w:ascii="Arial" w:hAnsi="Arial" w:cs="Arial"/>
          <w:b/>
          <w:bCs/>
          <w:i/>
          <w:iCs/>
          <w:sz w:val="24"/>
          <w:szCs w:val="24"/>
        </w:rPr>
        <w:t xml:space="preserve"> lots </w:t>
      </w:r>
    </w:p>
    <w:p w14:paraId="420FCF86" w14:textId="77777777" w:rsidR="00AA5974" w:rsidRPr="001B4A04" w:rsidRDefault="00AA5974" w:rsidP="00AA5974">
      <w:pPr>
        <w:jc w:val="center"/>
        <w:rPr>
          <w:rFonts w:asciiTheme="minorHAnsi" w:hAnsiTheme="minorHAnsi" w:cstheme="minorHAnsi"/>
          <w:i/>
          <w:iCs/>
          <w:sz w:val="24"/>
          <w:szCs w:val="24"/>
        </w:rPr>
      </w:pPr>
    </w:p>
    <w:p w14:paraId="73992E7A" w14:textId="5BB6F5D4" w:rsidR="00AA5974" w:rsidRPr="00164221" w:rsidRDefault="00AA5974" w:rsidP="009C65C3">
      <w:pPr>
        <w:spacing w:before="80" w:after="80"/>
        <w:rPr>
          <w:b/>
          <w:i/>
          <w:iCs/>
          <w:szCs w:val="24"/>
        </w:rPr>
      </w:pPr>
      <w:bookmarkStart w:id="3" w:name="_Hlk170644910"/>
      <w:r w:rsidRPr="00164221">
        <w:rPr>
          <w:b/>
          <w:szCs w:val="24"/>
        </w:rPr>
        <w:t>Appel à Propositions No : AP-0</w:t>
      </w:r>
      <w:r>
        <w:rPr>
          <w:b/>
          <w:szCs w:val="24"/>
        </w:rPr>
        <w:t>1</w:t>
      </w:r>
      <w:r w:rsidRPr="00164221">
        <w:rPr>
          <w:b/>
          <w:szCs w:val="24"/>
        </w:rPr>
        <w:t>_DP-1</w:t>
      </w:r>
      <w:r w:rsidR="009C65C3">
        <w:rPr>
          <w:b/>
          <w:szCs w:val="24"/>
        </w:rPr>
        <w:t>5</w:t>
      </w:r>
      <w:r w:rsidRPr="00164221">
        <w:rPr>
          <w:b/>
          <w:szCs w:val="24"/>
        </w:rPr>
        <w:t>_WARDIP-2026</w:t>
      </w:r>
    </w:p>
    <w:p w14:paraId="5699069D" w14:textId="77777777" w:rsidR="00AA5974" w:rsidRPr="00C96129" w:rsidRDefault="00AA5974" w:rsidP="009C65C3">
      <w:pPr>
        <w:spacing w:before="80" w:after="80"/>
        <w:rPr>
          <w:rFonts w:asciiTheme="minorHAnsi" w:hAnsiTheme="minorHAnsi" w:cstheme="minorHAnsi"/>
          <w:bCs/>
          <w:i/>
          <w:iCs/>
        </w:rPr>
      </w:pPr>
      <w:r w:rsidRPr="00C96129">
        <w:rPr>
          <w:rFonts w:asciiTheme="minorHAnsi" w:hAnsiTheme="minorHAnsi" w:cstheme="minorHAnsi"/>
          <w:b/>
          <w:bCs/>
        </w:rPr>
        <w:t>Crédit No</w:t>
      </w:r>
      <w:r w:rsidRPr="00C96129">
        <w:rPr>
          <w:rFonts w:asciiTheme="minorHAnsi" w:hAnsiTheme="minorHAnsi" w:cstheme="minorHAnsi"/>
          <w:bCs/>
          <w:i/>
          <w:iCs/>
        </w:rPr>
        <w:t xml:space="preserve"> : </w:t>
      </w:r>
      <w:r w:rsidRPr="00C96129">
        <w:rPr>
          <w:rFonts w:asciiTheme="minorHAnsi" w:hAnsiTheme="minorHAnsi" w:cstheme="minorHAnsi"/>
          <w:i/>
          <w:iCs/>
          <w:szCs w:val="24"/>
        </w:rPr>
        <w:t>IDA-7445-MR</w:t>
      </w:r>
    </w:p>
    <w:p w14:paraId="479F9E76" w14:textId="746C06B1" w:rsidR="00AA5974" w:rsidRDefault="00AA5974" w:rsidP="009C65C3">
      <w:pPr>
        <w:spacing w:before="80" w:after="80"/>
        <w:rPr>
          <w:rFonts w:asciiTheme="minorHAnsi" w:hAnsiTheme="minorHAnsi" w:cstheme="minorHAnsi"/>
          <w:bCs/>
          <w:i/>
          <w:iCs/>
        </w:rPr>
      </w:pPr>
      <w:r w:rsidRPr="00C96129">
        <w:rPr>
          <w:rFonts w:asciiTheme="minorHAnsi" w:hAnsiTheme="minorHAnsi" w:cstheme="minorHAnsi"/>
          <w:b/>
          <w:bCs/>
        </w:rPr>
        <w:t>Emis le </w:t>
      </w:r>
      <w:r w:rsidRPr="00C96129">
        <w:rPr>
          <w:rFonts w:asciiTheme="minorHAnsi" w:hAnsiTheme="minorHAnsi" w:cstheme="minorHAnsi"/>
          <w:bCs/>
          <w:i/>
          <w:iCs/>
        </w:rPr>
        <w:t xml:space="preserve">: </w:t>
      </w:r>
      <w:r w:rsidR="009C65C3">
        <w:rPr>
          <w:rFonts w:asciiTheme="minorHAnsi" w:hAnsiTheme="minorHAnsi" w:cstheme="minorHAnsi"/>
          <w:bCs/>
          <w:i/>
          <w:iCs/>
        </w:rPr>
        <w:t>2</w:t>
      </w:r>
      <w:r>
        <w:rPr>
          <w:rFonts w:asciiTheme="minorHAnsi" w:hAnsiTheme="minorHAnsi" w:cstheme="minorHAnsi"/>
          <w:bCs/>
          <w:i/>
          <w:iCs/>
        </w:rPr>
        <w:t>8</w:t>
      </w:r>
      <w:r w:rsidRPr="00C96129">
        <w:rPr>
          <w:rFonts w:asciiTheme="minorHAnsi" w:hAnsiTheme="minorHAnsi" w:cstheme="minorHAnsi"/>
          <w:bCs/>
          <w:i/>
          <w:iCs/>
        </w:rPr>
        <w:t xml:space="preserve"> </w:t>
      </w:r>
      <w:r w:rsidR="009C65C3">
        <w:rPr>
          <w:rFonts w:asciiTheme="minorHAnsi" w:hAnsiTheme="minorHAnsi" w:cstheme="minorHAnsi"/>
          <w:bCs/>
          <w:i/>
          <w:iCs/>
        </w:rPr>
        <w:t>avril</w:t>
      </w:r>
      <w:r w:rsidRPr="00C96129">
        <w:rPr>
          <w:rFonts w:asciiTheme="minorHAnsi" w:hAnsiTheme="minorHAnsi" w:cstheme="minorHAnsi"/>
          <w:bCs/>
          <w:i/>
          <w:iCs/>
        </w:rPr>
        <w:t xml:space="preserve"> 20</w:t>
      </w:r>
      <w:bookmarkEnd w:id="3"/>
      <w:r>
        <w:rPr>
          <w:rFonts w:asciiTheme="minorHAnsi" w:hAnsiTheme="minorHAnsi" w:cstheme="minorHAnsi"/>
          <w:bCs/>
          <w:i/>
          <w:iCs/>
        </w:rPr>
        <w:t>26</w:t>
      </w:r>
    </w:p>
    <w:p w14:paraId="634F660A" w14:textId="77777777" w:rsidR="00AA5974" w:rsidRPr="008C75F6" w:rsidRDefault="00AA5974" w:rsidP="009C65C3">
      <w:pPr>
        <w:spacing w:before="80" w:after="80"/>
        <w:rPr>
          <w:szCs w:val="24"/>
        </w:rPr>
      </w:pPr>
    </w:p>
    <w:p w14:paraId="45EAB3B1" w14:textId="77777777" w:rsidR="00AA5974" w:rsidRPr="008C75F6" w:rsidRDefault="00AA5974" w:rsidP="009C65C3">
      <w:pPr>
        <w:pStyle w:val="BankNormal"/>
        <w:numPr>
          <w:ilvl w:val="0"/>
          <w:numId w:val="1"/>
        </w:numPr>
        <w:spacing w:before="80" w:after="80" w:line="240" w:lineRule="auto"/>
        <w:rPr>
          <w:lang w:val="fr-FR"/>
        </w:rPr>
      </w:pPr>
      <w:r w:rsidRPr="008C75F6">
        <w:rPr>
          <w:b/>
          <w:spacing w:val="-3"/>
          <w:lang w:val="fr-FR"/>
        </w:rPr>
        <w:t>La République Islamique de Mauritanie</w:t>
      </w:r>
      <w:r w:rsidRPr="008C75F6">
        <w:rPr>
          <w:lang w:val="fr-FR"/>
        </w:rPr>
        <w:t xml:space="preserve"> </w:t>
      </w:r>
      <w:r w:rsidRPr="008C75F6">
        <w:rPr>
          <w:color w:val="000000"/>
          <w:spacing w:val="-2"/>
          <w:szCs w:val="24"/>
          <w:lang w:val="fr-FR"/>
        </w:rPr>
        <w:t xml:space="preserve">a reçu </w:t>
      </w:r>
      <w:r w:rsidRPr="008C75F6">
        <w:rPr>
          <w:spacing w:val="-3"/>
          <w:szCs w:val="24"/>
          <w:lang w:val="fr-FR"/>
        </w:rPr>
        <w:t xml:space="preserve">un prêt de la Banque mondiale pour financer le coût du Projet </w:t>
      </w:r>
      <w:r w:rsidRPr="008C75F6">
        <w:rPr>
          <w:b/>
          <w:lang w:val="fr-FR"/>
        </w:rPr>
        <w:t>Régional d’Intégration Numérique en Afrique de l’Ouest WARDIP – Mauritanie</w:t>
      </w:r>
      <w:r w:rsidRPr="008C75F6">
        <w:rPr>
          <w:spacing w:val="-3"/>
          <w:szCs w:val="24"/>
          <w:lang w:val="fr-FR"/>
        </w:rPr>
        <w:t xml:space="preserve">. Il est prévu qu’une partie des sommes accordées au titre de ce financement sera utilisée pour effectuer les paiements prévus au titre de </w:t>
      </w:r>
      <w:r w:rsidRPr="008C75F6">
        <w:rPr>
          <w:lang w:val="fr-FR"/>
        </w:rPr>
        <w:t>la</w:t>
      </w:r>
      <w:r w:rsidRPr="008C75F6">
        <w:rPr>
          <w:b/>
          <w:bCs/>
          <w:lang w:val="fr-FR"/>
        </w:rPr>
        <w:t xml:space="preserve"> Conception, fourniture, installation et mise en œuvre d’un Système national de certification électronique en deux lots</w:t>
      </w:r>
      <w:r w:rsidRPr="008C75F6">
        <w:rPr>
          <w:lang w:val="fr-FR"/>
        </w:rPr>
        <w:t> :</w:t>
      </w:r>
    </w:p>
    <w:p w14:paraId="57FC73BA" w14:textId="77777777" w:rsidR="00AA5974" w:rsidRPr="008C75F6" w:rsidRDefault="00AA5974" w:rsidP="009C65C3">
      <w:pPr>
        <w:pStyle w:val="BankNormal"/>
        <w:numPr>
          <w:ilvl w:val="2"/>
          <w:numId w:val="3"/>
        </w:numPr>
        <w:spacing w:before="80" w:after="80" w:line="240" w:lineRule="auto"/>
        <w:rPr>
          <w:b/>
          <w:bCs/>
          <w:color w:val="000000"/>
          <w:shd w:val="clear" w:color="auto" w:fill="FFFFFF"/>
          <w:lang w:val="fr-FR"/>
        </w:rPr>
      </w:pPr>
      <w:r w:rsidRPr="008C75F6">
        <w:rPr>
          <w:b/>
          <w:bCs/>
          <w:iCs/>
          <w:lang w:val="fr-FR"/>
        </w:rPr>
        <w:t>Lot 01</w:t>
      </w:r>
      <w:r w:rsidRPr="008C75F6">
        <w:rPr>
          <w:i/>
          <w:lang w:val="fr-FR"/>
        </w:rPr>
        <w:t> :</w:t>
      </w:r>
      <w:r w:rsidRPr="008C75F6">
        <w:rPr>
          <w:lang w:val="fr-FR"/>
        </w:rPr>
        <w:t xml:space="preserve"> </w:t>
      </w:r>
      <w:r w:rsidRPr="008C75F6">
        <w:rPr>
          <w:b/>
          <w:bCs/>
          <w:color w:val="000000"/>
          <w:shd w:val="clear" w:color="auto" w:fill="FFFFFF"/>
          <w:lang w:val="fr-FR"/>
        </w:rPr>
        <w:t>Infrastructure à Clé Publique (ICP) Nationale ;</w:t>
      </w:r>
    </w:p>
    <w:p w14:paraId="0AF08C07" w14:textId="77777777" w:rsidR="00AA5974" w:rsidRPr="008C75F6" w:rsidRDefault="00AA5974" w:rsidP="009C65C3">
      <w:pPr>
        <w:pStyle w:val="BankNormal"/>
        <w:numPr>
          <w:ilvl w:val="2"/>
          <w:numId w:val="3"/>
        </w:numPr>
        <w:spacing w:before="80" w:after="80" w:line="240" w:lineRule="auto"/>
        <w:rPr>
          <w:b/>
          <w:bCs/>
          <w:color w:val="000000"/>
          <w:shd w:val="clear" w:color="auto" w:fill="FFFFFF"/>
          <w:lang w:val="fr-FR"/>
        </w:rPr>
      </w:pPr>
      <w:r w:rsidRPr="008C75F6">
        <w:rPr>
          <w:b/>
          <w:iCs/>
          <w:szCs w:val="24"/>
          <w:lang w:val="fr-FR"/>
        </w:rPr>
        <w:t>Lot 02 :</w:t>
      </w:r>
      <w:r w:rsidRPr="008C75F6">
        <w:rPr>
          <w:b/>
          <w:bCs/>
          <w:color w:val="000000"/>
          <w:shd w:val="clear" w:color="auto" w:fill="FFFFFF"/>
          <w:lang w:val="fr-FR"/>
        </w:rPr>
        <w:t xml:space="preserve"> Mise en Place d’un CMS (</w:t>
      </w:r>
      <w:proofErr w:type="spellStart"/>
      <w:r w:rsidRPr="008C75F6">
        <w:rPr>
          <w:b/>
          <w:bCs/>
          <w:color w:val="000000"/>
          <w:shd w:val="clear" w:color="auto" w:fill="FFFFFF"/>
          <w:lang w:val="fr-FR"/>
        </w:rPr>
        <w:t>Certificate</w:t>
      </w:r>
      <w:proofErr w:type="spellEnd"/>
      <w:r w:rsidRPr="008C75F6">
        <w:rPr>
          <w:b/>
          <w:bCs/>
          <w:color w:val="000000"/>
          <w:shd w:val="clear" w:color="auto" w:fill="FFFFFF"/>
          <w:lang w:val="fr-FR"/>
        </w:rPr>
        <w:t xml:space="preserve"> Management System) et intégration de la signature électronique avec la PKI de l’ANRPTS.</w:t>
      </w:r>
    </w:p>
    <w:p w14:paraId="493899C5" w14:textId="77777777" w:rsidR="00AA5974" w:rsidRPr="008C75F6" w:rsidRDefault="00AA5974" w:rsidP="009C65C3">
      <w:pPr>
        <w:pStyle w:val="BankNormal"/>
        <w:numPr>
          <w:ilvl w:val="0"/>
          <w:numId w:val="1"/>
        </w:numPr>
        <w:spacing w:before="80" w:after="80" w:line="240" w:lineRule="auto"/>
        <w:rPr>
          <w:bCs/>
          <w:spacing w:val="-3"/>
          <w:lang w:val="fr-FR"/>
        </w:rPr>
      </w:pPr>
      <w:bookmarkStart w:id="4" w:name="_Hlk151110208"/>
      <w:r w:rsidRPr="008C75F6">
        <w:rPr>
          <w:bCs/>
          <w:spacing w:val="-3"/>
          <w:lang w:val="fr-FR"/>
        </w:rPr>
        <w:t xml:space="preserve">L’Unité de Gestion du Projet (UGP)_WARDIP au </w:t>
      </w:r>
      <w:proofErr w:type="gramStart"/>
      <w:r w:rsidRPr="008C75F6">
        <w:rPr>
          <w:bCs/>
          <w:spacing w:val="-3"/>
          <w:lang w:val="fr-FR"/>
        </w:rPr>
        <w:t>Ministère</w:t>
      </w:r>
      <w:proofErr w:type="gramEnd"/>
      <w:r w:rsidRPr="008C75F6">
        <w:rPr>
          <w:bCs/>
          <w:spacing w:val="-3"/>
          <w:lang w:val="fr-FR"/>
        </w:rPr>
        <w:t xml:space="preserve"> de la Transformation Numérique et de la Modernisation de l’Administration</w:t>
      </w:r>
      <w:bookmarkEnd w:id="4"/>
      <w:r w:rsidRPr="008C75F6">
        <w:rPr>
          <w:bCs/>
          <w:spacing w:val="-3"/>
          <w:lang w:val="fr-FR"/>
        </w:rPr>
        <w:t xml:space="preserve"> invite, par la présente, les Proposants de pays éligibles à remettre des Propositions sous pli fermé, pour la </w:t>
      </w:r>
      <w:r w:rsidRPr="008C75F6">
        <w:rPr>
          <w:b/>
          <w:i/>
          <w:iCs/>
          <w:spacing w:val="-3"/>
          <w:lang w:val="fr-FR"/>
        </w:rPr>
        <w:t>Conception, fourniture, installation et mise en œuvre d’un Système national de certification électronique en deux lots (susmentionnés).</w:t>
      </w:r>
    </w:p>
    <w:p w14:paraId="1B70015F" w14:textId="334A0001" w:rsidR="00AA5974" w:rsidRPr="008C75F6" w:rsidRDefault="00AA5974" w:rsidP="009C65C3">
      <w:pPr>
        <w:pStyle w:val="BankNormal"/>
        <w:numPr>
          <w:ilvl w:val="0"/>
          <w:numId w:val="1"/>
        </w:numPr>
        <w:spacing w:before="80" w:after="80" w:line="240" w:lineRule="auto"/>
        <w:rPr>
          <w:bCs/>
          <w:spacing w:val="-3"/>
          <w:lang w:val="fr-FR"/>
        </w:rPr>
      </w:pPr>
      <w:r w:rsidRPr="008C75F6">
        <w:rPr>
          <w:spacing w:val="-3"/>
          <w:szCs w:val="24"/>
          <w:lang w:val="fr-FR"/>
        </w:rPr>
        <w:t>La</w:t>
      </w:r>
      <w:r w:rsidRPr="008C75F6">
        <w:rPr>
          <w:szCs w:val="24"/>
          <w:lang w:val="fr-FR"/>
        </w:rPr>
        <w:t xml:space="preserve"> procédure sera conduite par mise en concurrence internationale en recourant à une Demande de Propositions (DDP) telle que définie dans le « </w:t>
      </w:r>
      <w:r w:rsidRPr="008C75F6">
        <w:rPr>
          <w:i/>
          <w:iCs/>
          <w:szCs w:val="24"/>
          <w:lang w:val="fr-FR"/>
        </w:rPr>
        <w:t xml:space="preserve">Règlement applicable aux Emprunteurs – </w:t>
      </w:r>
      <w:r w:rsidRPr="008C75F6">
        <w:rPr>
          <w:spacing w:val="-3"/>
          <w:szCs w:val="24"/>
          <w:lang w:val="fr-FR"/>
        </w:rPr>
        <w:t>Passation</w:t>
      </w:r>
      <w:r w:rsidRPr="008C75F6">
        <w:rPr>
          <w:i/>
          <w:iCs/>
          <w:szCs w:val="24"/>
          <w:lang w:val="fr-FR"/>
        </w:rPr>
        <w:t xml:space="preserve"> des Marchés dans le cadre de Financement de Projets d’Investissement » </w:t>
      </w:r>
      <w:r w:rsidRPr="008C75F6">
        <w:rPr>
          <w:b/>
          <w:bCs/>
          <w:i/>
          <w:iCs/>
          <w:szCs w:val="24"/>
          <w:lang w:val="fr-FR"/>
        </w:rPr>
        <w:t xml:space="preserve">de juillet 2016, mis à jour en </w:t>
      </w:r>
      <w:r w:rsidRPr="008C75F6">
        <w:rPr>
          <w:b/>
          <w:bCs/>
          <w:i/>
          <w:iCs/>
          <w:szCs w:val="24"/>
          <w:lang w:val="fr-FR"/>
        </w:rPr>
        <w:lastRenderedPageBreak/>
        <w:t>septembre2023</w:t>
      </w:r>
      <w:r w:rsidR="009C65C3">
        <w:rPr>
          <w:i/>
          <w:iCs/>
          <w:szCs w:val="24"/>
          <w:lang w:val="fr-FR"/>
        </w:rPr>
        <w:t xml:space="preserve">, </w:t>
      </w:r>
      <w:r w:rsidRPr="008C75F6">
        <w:rPr>
          <w:szCs w:val="24"/>
          <w:lang w:val="fr-FR"/>
        </w:rPr>
        <w:t>de la Banque Mondiale (« le Règlement de Passation des Marchés »), et ouverte à tous les Proposants éligibles tels que définis dans le Règlement de Passation de Marchés.</w:t>
      </w:r>
      <w:r w:rsidRPr="008C75F6">
        <w:rPr>
          <w:bCs/>
          <w:spacing w:val="-3"/>
          <w:lang w:val="fr-FR"/>
        </w:rPr>
        <w:t xml:space="preserve"> </w:t>
      </w:r>
    </w:p>
    <w:p w14:paraId="32F15515" w14:textId="51B674EE" w:rsidR="00AA5974" w:rsidRPr="008C75F6" w:rsidRDefault="00AA5974" w:rsidP="009C65C3">
      <w:pPr>
        <w:pStyle w:val="BankNormal"/>
        <w:numPr>
          <w:ilvl w:val="0"/>
          <w:numId w:val="1"/>
        </w:numPr>
        <w:spacing w:before="80" w:after="80" w:line="240" w:lineRule="auto"/>
        <w:rPr>
          <w:bCs/>
          <w:spacing w:val="-3"/>
          <w:lang w:val="fr-FR"/>
        </w:rPr>
      </w:pPr>
      <w:r w:rsidRPr="008C75F6">
        <w:rPr>
          <w:spacing w:val="-3"/>
          <w:lang w:val="fr-FR"/>
        </w:rPr>
        <w:t>Les Offres</w:t>
      </w:r>
      <w:r w:rsidRPr="008C75F6">
        <w:rPr>
          <w:spacing w:val="-3"/>
          <w:u w:val="single"/>
          <w:lang w:val="fr-FR"/>
        </w:rPr>
        <w:t xml:space="preserve"> seront évaluées conformément au processus d'évaluation défini dans le dossier d'appel d'offres. Les pondérations suivantes s'appliqueront aux Critères notés (y compris les facteurs techniques et autres que le prix)</w:t>
      </w:r>
      <w:r w:rsidRPr="008C75F6">
        <w:rPr>
          <w:spacing w:val="-3"/>
          <w:lang w:val="fr-FR"/>
        </w:rPr>
        <w:t xml:space="preserve"> :</w:t>
      </w:r>
      <w:r w:rsidR="009C65C3">
        <w:rPr>
          <w:spacing w:val="-3"/>
          <w:u w:val="single"/>
          <w:lang w:val="fr-FR"/>
        </w:rPr>
        <w:t xml:space="preserve"> </w:t>
      </w:r>
      <w:r w:rsidRPr="008C75F6">
        <w:rPr>
          <w:b/>
          <w:bCs/>
          <w:i/>
          <w:iCs/>
          <w:spacing w:val="-3"/>
          <w:u w:val="single"/>
          <w:lang w:val="fr-FR"/>
        </w:rPr>
        <w:t>30%</w:t>
      </w:r>
      <w:r w:rsidRPr="008C75F6">
        <w:rPr>
          <w:spacing w:val="-3"/>
          <w:u w:val="single"/>
          <w:lang w:val="fr-FR"/>
        </w:rPr>
        <w:t xml:space="preserve"> et pour le coût de l'Offre : </w:t>
      </w:r>
      <w:r w:rsidRPr="008C75F6">
        <w:rPr>
          <w:b/>
          <w:bCs/>
          <w:i/>
          <w:iCs/>
          <w:spacing w:val="-3"/>
          <w:u w:val="single"/>
          <w:lang w:val="fr-FR"/>
        </w:rPr>
        <w:t>70%</w:t>
      </w:r>
      <w:r w:rsidRPr="008C75F6">
        <w:rPr>
          <w:i/>
          <w:iCs/>
          <w:spacing w:val="-3"/>
          <w:u w:val="single"/>
          <w:lang w:val="fr-FR"/>
        </w:rPr>
        <w:t>.</w:t>
      </w:r>
    </w:p>
    <w:p w14:paraId="6F59C99D" w14:textId="77777777" w:rsidR="00AA5974" w:rsidRPr="00E7392E" w:rsidRDefault="00AA5974" w:rsidP="009C65C3">
      <w:pPr>
        <w:pStyle w:val="BankNormal"/>
        <w:numPr>
          <w:ilvl w:val="0"/>
          <w:numId w:val="1"/>
        </w:numPr>
        <w:spacing w:before="80" w:after="80" w:line="240" w:lineRule="auto"/>
        <w:rPr>
          <w:bCs/>
          <w:spacing w:val="-3"/>
          <w:lang w:val="fr-FR"/>
        </w:rPr>
      </w:pPr>
      <w:r w:rsidRPr="008C75F6">
        <w:rPr>
          <w:spacing w:val="-3"/>
          <w:szCs w:val="24"/>
          <w:lang w:val="fr-FR"/>
        </w:rPr>
        <w:t xml:space="preserve">Les Proposants éligibles peuvent obtenir des informations et examiner le Dossier de Demande de Propositions (DDP) dans les bureaux de </w:t>
      </w:r>
      <w:r w:rsidRPr="008C75F6">
        <w:rPr>
          <w:b/>
          <w:bCs/>
          <w:i/>
          <w:iCs/>
          <w:spacing w:val="-3"/>
          <w:szCs w:val="24"/>
          <w:lang w:val="fr-FR"/>
        </w:rPr>
        <w:t>l’UGP du Projet WARDIP-Mauritanie</w:t>
      </w:r>
      <w:r w:rsidRPr="008C75F6">
        <w:rPr>
          <w:i/>
          <w:iCs/>
          <w:spacing w:val="-3"/>
          <w:szCs w:val="24"/>
          <w:lang w:val="fr-FR"/>
        </w:rPr>
        <w:t xml:space="preserve"> et examiner le Dossier de Demande de Propositions (DDP) durant les heures de bureau entre 8 :00 et 17 :00 heures, Vendredi entre 8h et 12 h] à l’adresse indiquée ci-</w:t>
      </w:r>
      <w:proofErr w:type="gramStart"/>
      <w:r w:rsidRPr="008C75F6">
        <w:rPr>
          <w:i/>
          <w:iCs/>
          <w:spacing w:val="-3"/>
          <w:szCs w:val="24"/>
          <w:lang w:val="fr-FR"/>
        </w:rPr>
        <w:t xml:space="preserve">après  </w:t>
      </w:r>
      <w:r w:rsidRPr="008C75F6">
        <w:rPr>
          <w:b/>
          <w:bCs/>
          <w:i/>
          <w:color w:val="000000"/>
          <w:spacing w:val="-2"/>
          <w:szCs w:val="24"/>
          <w:lang w:val="fr-FR"/>
        </w:rPr>
        <w:t>TVZ</w:t>
      </w:r>
      <w:proofErr w:type="gramEnd"/>
      <w:r w:rsidRPr="008C75F6">
        <w:rPr>
          <w:b/>
          <w:bCs/>
          <w:i/>
          <w:color w:val="000000"/>
          <w:spacing w:val="-2"/>
          <w:szCs w:val="24"/>
          <w:lang w:val="fr-FR"/>
        </w:rPr>
        <w:t>, N° 099 – Nouakchott - Téléphone : +</w:t>
      </w:r>
      <w:r w:rsidRPr="00E7392E">
        <w:rPr>
          <w:b/>
          <w:bCs/>
          <w:i/>
          <w:color w:val="000000"/>
          <w:spacing w:val="-2"/>
          <w:szCs w:val="24"/>
          <w:lang w:val="fr-FR"/>
        </w:rPr>
        <w:t xml:space="preserve">222 45 24 11 02 - Courriel : </w:t>
      </w:r>
      <w:hyperlink r:id="rId6" w:history="1">
        <w:r w:rsidRPr="00E7392E">
          <w:rPr>
            <w:rStyle w:val="Lienhypertexte"/>
            <w:b/>
            <w:bCs/>
            <w:i/>
            <w:spacing w:val="-2"/>
            <w:szCs w:val="24"/>
            <w:lang w:val="fr-FR"/>
          </w:rPr>
          <w:t>wardip@mtnima.gov.mr</w:t>
        </w:r>
      </w:hyperlink>
      <w:r w:rsidRPr="00E7392E">
        <w:rPr>
          <w:i/>
          <w:spacing w:val="-3"/>
          <w:szCs w:val="24"/>
          <w:lang w:val="fr-FR"/>
        </w:rPr>
        <w:t>.</w:t>
      </w:r>
    </w:p>
    <w:p w14:paraId="629874B5" w14:textId="77777777" w:rsidR="00AA5974" w:rsidRPr="00E7392E" w:rsidRDefault="00AA5974" w:rsidP="009C65C3">
      <w:pPr>
        <w:pStyle w:val="BankNormal"/>
        <w:numPr>
          <w:ilvl w:val="0"/>
          <w:numId w:val="1"/>
        </w:numPr>
        <w:spacing w:before="80" w:after="80" w:line="240" w:lineRule="auto"/>
        <w:rPr>
          <w:bCs/>
          <w:spacing w:val="-3"/>
          <w:lang w:val="fr-FR"/>
        </w:rPr>
      </w:pPr>
      <w:r w:rsidRPr="00E7392E">
        <w:rPr>
          <w:spacing w:val="-3"/>
          <w:szCs w:val="24"/>
          <w:lang w:val="fr-FR"/>
        </w:rPr>
        <w:t xml:space="preserve">Le Dossier de Demande de Propositions en française peut être acheté par tout Proposant éligible </w:t>
      </w:r>
      <w:proofErr w:type="gramStart"/>
      <w:r w:rsidRPr="00E7392E">
        <w:rPr>
          <w:spacing w:val="-3"/>
          <w:szCs w:val="24"/>
          <w:lang w:val="fr-FR"/>
        </w:rPr>
        <w:t>intéressé</w:t>
      </w:r>
      <w:proofErr w:type="gramEnd"/>
      <w:r w:rsidRPr="00E7392E">
        <w:rPr>
          <w:spacing w:val="-3"/>
          <w:szCs w:val="24"/>
          <w:lang w:val="fr-FR"/>
        </w:rPr>
        <w:t xml:space="preserve"> en formulant une demande écrite à l’adresse ci-dessous contre un paiement non remboursable de 4000 MRU. Le paiement sera effectué au niveau du trésor public. Le Dossier de demande de proposition sera remis au représentant du soumissionnaire contre présentation de la quittance du trésor.</w:t>
      </w:r>
    </w:p>
    <w:p w14:paraId="0DC23A85" w14:textId="77777777" w:rsidR="00AA5974" w:rsidRPr="008C75F6" w:rsidRDefault="00AA5974" w:rsidP="009C65C3">
      <w:pPr>
        <w:pStyle w:val="BankNormal"/>
        <w:numPr>
          <w:ilvl w:val="0"/>
          <w:numId w:val="1"/>
        </w:numPr>
        <w:spacing w:before="80" w:after="80" w:line="240" w:lineRule="auto"/>
        <w:rPr>
          <w:bCs/>
          <w:spacing w:val="-3"/>
          <w:lang w:val="fr-FR"/>
        </w:rPr>
      </w:pPr>
      <w:r w:rsidRPr="00E7392E">
        <w:rPr>
          <w:color w:val="000000"/>
          <w:spacing w:val="-2"/>
          <w:lang w:val="fr-FR"/>
        </w:rPr>
        <w:t xml:space="preserve">Les Propositions doivent être livrées à l’adresse ci-dessous </w:t>
      </w:r>
      <w:r w:rsidRPr="00E7392E">
        <w:rPr>
          <w:i/>
          <w:color w:val="000000"/>
          <w:spacing w:val="-2"/>
          <w:lang w:val="fr-FR"/>
        </w:rPr>
        <w:t xml:space="preserve">indiquer </w:t>
      </w:r>
      <w:r w:rsidRPr="00E7392E">
        <w:rPr>
          <w:b/>
          <w:i/>
          <w:color w:val="000000"/>
          <w:spacing w:val="-2"/>
          <w:lang w:val="fr-FR"/>
        </w:rPr>
        <w:t xml:space="preserve">l’adresse à la fin de la présente </w:t>
      </w:r>
      <w:proofErr w:type="gramStart"/>
      <w:r w:rsidRPr="00E7392E">
        <w:rPr>
          <w:b/>
          <w:i/>
          <w:color w:val="000000"/>
          <w:spacing w:val="-2"/>
          <w:lang w:val="fr-FR"/>
        </w:rPr>
        <w:t>DP</w:t>
      </w:r>
      <w:r w:rsidRPr="00E7392E">
        <w:rPr>
          <w:i/>
          <w:color w:val="000000"/>
          <w:spacing w:val="-2"/>
          <w:lang w:val="fr-FR"/>
        </w:rPr>
        <w:t xml:space="preserve"> </w:t>
      </w:r>
      <w:r w:rsidRPr="00E7392E">
        <w:rPr>
          <w:color w:val="000000"/>
          <w:spacing w:val="-2"/>
          <w:lang w:val="fr-FR"/>
        </w:rPr>
        <w:t xml:space="preserve"> au</w:t>
      </w:r>
      <w:proofErr w:type="gramEnd"/>
      <w:r w:rsidRPr="00E7392E">
        <w:rPr>
          <w:color w:val="000000"/>
          <w:spacing w:val="-2"/>
          <w:lang w:val="fr-FR"/>
        </w:rPr>
        <w:t xml:space="preserve"> plus tard </w:t>
      </w:r>
      <w:r w:rsidRPr="00E7392E">
        <w:rPr>
          <w:i/>
          <w:color w:val="000000"/>
          <w:spacing w:val="-2"/>
          <w:lang w:val="fr-FR"/>
        </w:rPr>
        <w:t xml:space="preserve">le </w:t>
      </w:r>
      <w:r w:rsidRPr="00E7392E">
        <w:rPr>
          <w:b/>
          <w:bCs/>
          <w:i/>
          <w:color w:val="000000"/>
          <w:spacing w:val="-2"/>
          <w:lang w:val="fr-FR"/>
        </w:rPr>
        <w:t>18 juin 2026 à 12 heure</w:t>
      </w:r>
      <w:r w:rsidRPr="00E7392E">
        <w:rPr>
          <w:i/>
          <w:color w:val="000000"/>
          <w:spacing w:val="-2"/>
          <w:lang w:val="fr-FR"/>
        </w:rPr>
        <w:t>.</w:t>
      </w:r>
      <w:r w:rsidRPr="008C75F6">
        <w:rPr>
          <w:lang w:val="fr-FR"/>
        </w:rPr>
        <w:t xml:space="preserve"> </w:t>
      </w:r>
      <w:r w:rsidRPr="008C75F6">
        <w:rPr>
          <w:color w:val="000000"/>
          <w:lang w:val="fr-FR"/>
        </w:rPr>
        <w:t xml:space="preserve"> La passation de marchés électronique </w:t>
      </w:r>
      <w:r w:rsidRPr="008C75F6">
        <w:rPr>
          <w:b/>
          <w:i/>
          <w:color w:val="000000"/>
          <w:lang w:val="fr-FR"/>
        </w:rPr>
        <w:t>ne sera pas </w:t>
      </w:r>
      <w:r w:rsidRPr="008C75F6">
        <w:rPr>
          <w:color w:val="000000"/>
          <w:lang w:val="fr-FR"/>
        </w:rPr>
        <w:t>autorisée.</w:t>
      </w:r>
      <w:r w:rsidRPr="008C75F6">
        <w:rPr>
          <w:b/>
          <w:i/>
          <w:color w:val="000000"/>
          <w:lang w:val="fr-FR"/>
        </w:rPr>
        <w:t xml:space="preserve"> </w:t>
      </w:r>
      <w:r w:rsidRPr="008C75F6">
        <w:rPr>
          <w:lang w:val="fr-FR"/>
        </w:rPr>
        <w:t xml:space="preserve"> </w:t>
      </w:r>
      <w:r w:rsidRPr="008C75F6">
        <w:rPr>
          <w:color w:val="000000"/>
          <w:spacing w:val="-2"/>
          <w:lang w:val="fr-FR"/>
        </w:rPr>
        <w:t xml:space="preserve"> Les Propositions tardives seront rejetées. </w:t>
      </w:r>
      <w:r w:rsidRPr="008C75F6">
        <w:rPr>
          <w:lang w:val="fr-FR"/>
        </w:rPr>
        <w:t xml:space="preserve"> </w:t>
      </w:r>
      <w:r w:rsidRPr="008C75F6">
        <w:rPr>
          <w:spacing w:val="-2"/>
          <w:lang w:val="fr-FR"/>
        </w:rPr>
        <w:t xml:space="preserve">Les </w:t>
      </w:r>
      <w:r w:rsidRPr="008C75F6">
        <w:rPr>
          <w:lang w:val="fr-FR"/>
        </w:rPr>
        <w:t xml:space="preserve">enveloppes extérieures de la </w:t>
      </w:r>
      <w:r w:rsidRPr="008C75F6">
        <w:rPr>
          <w:spacing w:val="-2"/>
          <w:lang w:val="fr-FR"/>
        </w:rPr>
        <w:t>Proposition</w:t>
      </w:r>
      <w:r w:rsidRPr="008C75F6">
        <w:rPr>
          <w:lang w:val="fr-FR"/>
        </w:rPr>
        <w:t xml:space="preserve"> portant la mention « </w:t>
      </w:r>
      <w:r w:rsidRPr="008C75F6">
        <w:rPr>
          <w:spacing w:val="-2"/>
          <w:lang w:val="fr-FR"/>
        </w:rPr>
        <w:t>PROPOSITION ORIGINALE »</w:t>
      </w:r>
      <w:r w:rsidRPr="008C75F6">
        <w:rPr>
          <w:lang w:val="fr-FR"/>
        </w:rPr>
        <w:t xml:space="preserve"> et </w:t>
      </w:r>
      <w:r w:rsidRPr="008C75F6">
        <w:rPr>
          <w:spacing w:val="-2"/>
          <w:lang w:val="fr-FR"/>
        </w:rPr>
        <w:t xml:space="preserve">les enveloppes intérieures portant la mention « PARTIE TECHNIQUE » seront ouvertes au public en présence des </w:t>
      </w:r>
      <w:r w:rsidRPr="008C75F6">
        <w:rPr>
          <w:lang w:val="fr-FR"/>
        </w:rPr>
        <w:t xml:space="preserve">représentants désignés du </w:t>
      </w:r>
      <w:r w:rsidRPr="008C75F6">
        <w:rPr>
          <w:spacing w:val="-2"/>
          <w:lang w:val="fr-FR"/>
        </w:rPr>
        <w:t>Proposant</w:t>
      </w:r>
      <w:r w:rsidRPr="008C75F6">
        <w:rPr>
          <w:lang w:val="fr-FR"/>
        </w:rPr>
        <w:t xml:space="preserve"> et de </w:t>
      </w:r>
      <w:r w:rsidRPr="008C75F6">
        <w:rPr>
          <w:spacing w:val="-2"/>
          <w:lang w:val="fr-FR"/>
        </w:rPr>
        <w:t xml:space="preserve">toute personne qui </w:t>
      </w:r>
      <w:r w:rsidRPr="00E7392E">
        <w:rPr>
          <w:spacing w:val="-2"/>
          <w:lang w:val="fr-FR"/>
        </w:rPr>
        <w:t>choisira d’y assister</w:t>
      </w:r>
      <w:r w:rsidRPr="00E7392E">
        <w:rPr>
          <w:lang w:val="fr-FR"/>
        </w:rPr>
        <w:t xml:space="preserve">, à l’adresse ci-dessous </w:t>
      </w:r>
      <w:r w:rsidRPr="00E7392E">
        <w:rPr>
          <w:i/>
          <w:spacing w:val="-2"/>
          <w:lang w:val="fr-FR"/>
        </w:rPr>
        <w:t>indiquer l’adresse à la fin de la présente DP</w:t>
      </w:r>
      <w:r w:rsidRPr="00E7392E">
        <w:rPr>
          <w:lang w:val="fr-FR"/>
        </w:rPr>
        <w:t xml:space="preserve"> le </w:t>
      </w:r>
      <w:r w:rsidRPr="00E7392E">
        <w:rPr>
          <w:b/>
          <w:bCs/>
          <w:i/>
          <w:color w:val="000000"/>
          <w:spacing w:val="-2"/>
          <w:lang w:val="fr-FR"/>
        </w:rPr>
        <w:t>18 juin 2026 à 12 heure</w:t>
      </w:r>
      <w:r w:rsidRPr="00E7392E">
        <w:rPr>
          <w:i/>
          <w:spacing w:val="-2"/>
          <w:lang w:val="fr-FR"/>
        </w:rPr>
        <w:t xml:space="preserve">. </w:t>
      </w:r>
      <w:r w:rsidRPr="00E7392E">
        <w:rPr>
          <w:iCs/>
          <w:spacing w:val="-2"/>
          <w:lang w:val="fr-FR"/>
        </w:rPr>
        <w:t>Toutes les enveloppes portant la mention « PARTIE FINANCIÈRE » resteront non ouvertes et</w:t>
      </w:r>
      <w:r w:rsidRPr="008C75F6">
        <w:rPr>
          <w:iCs/>
          <w:spacing w:val="-2"/>
          <w:lang w:val="fr-FR"/>
        </w:rPr>
        <w:t xml:space="preserve"> seront conservées en lieu sûr par l’Acheteur jusqu’à la deuxième ouverture</w:t>
      </w:r>
      <w:r w:rsidRPr="008C75F6">
        <w:rPr>
          <w:iCs/>
          <w:lang w:val="fr-FR"/>
        </w:rPr>
        <w:t xml:space="preserve"> publique des </w:t>
      </w:r>
      <w:r w:rsidRPr="008C75F6">
        <w:rPr>
          <w:iCs/>
          <w:spacing w:val="-2"/>
          <w:lang w:val="fr-FR"/>
        </w:rPr>
        <w:t>Propositions.</w:t>
      </w:r>
      <w:r w:rsidRPr="008C75F6">
        <w:rPr>
          <w:lang w:val="fr-FR"/>
        </w:rPr>
        <w:t xml:space="preserve"> </w:t>
      </w:r>
    </w:p>
    <w:p w14:paraId="6F4BAFF8" w14:textId="77777777" w:rsidR="00AA5974" w:rsidRPr="008C75F6" w:rsidRDefault="00AA5974" w:rsidP="009C65C3">
      <w:pPr>
        <w:pStyle w:val="BankNormal"/>
        <w:numPr>
          <w:ilvl w:val="0"/>
          <w:numId w:val="1"/>
        </w:numPr>
        <w:spacing w:before="80" w:after="80" w:line="240" w:lineRule="auto"/>
        <w:rPr>
          <w:bCs/>
          <w:spacing w:val="-3"/>
          <w:lang w:val="fr-FR"/>
        </w:rPr>
      </w:pPr>
      <w:r w:rsidRPr="008C75F6">
        <w:rPr>
          <w:lang w:val="fr-FR"/>
        </w:rPr>
        <w:t>L</w:t>
      </w:r>
      <w:r w:rsidRPr="008C75F6">
        <w:rPr>
          <w:color w:val="000000"/>
          <w:spacing w:val="-2"/>
          <w:lang w:val="fr-FR"/>
        </w:rPr>
        <w:t>es Propositions doivent être accompagnées d’une</w:t>
      </w:r>
      <w:r w:rsidRPr="008C75F6">
        <w:rPr>
          <w:i/>
          <w:iCs/>
          <w:lang w:val="fr-FR"/>
        </w:rPr>
        <w:t xml:space="preserve"> </w:t>
      </w:r>
      <w:r w:rsidRPr="008C75F6">
        <w:rPr>
          <w:b/>
          <w:bCs/>
          <w:i/>
          <w:iCs/>
          <w:lang w:val="fr-FR"/>
        </w:rPr>
        <w:t>garantie de proposition</w:t>
      </w:r>
      <w:r w:rsidRPr="008C75F6">
        <w:rPr>
          <w:i/>
          <w:iCs/>
          <w:color w:val="000000"/>
          <w:spacing w:val="-2"/>
          <w:lang w:val="fr-FR"/>
        </w:rPr>
        <w:t xml:space="preserve"> </w:t>
      </w:r>
      <w:r w:rsidRPr="008C75F6">
        <w:rPr>
          <w:lang w:val="fr-FR"/>
        </w:rPr>
        <w:t>de</w:t>
      </w:r>
      <w:r w:rsidRPr="008C75F6">
        <w:rPr>
          <w:i/>
          <w:iCs/>
          <w:lang w:val="fr-FR"/>
        </w:rPr>
        <w:t> </w:t>
      </w:r>
      <w:r w:rsidRPr="008C75F6">
        <w:rPr>
          <w:i/>
          <w:iCs/>
          <w:color w:val="000000"/>
          <w:spacing w:val="-2"/>
          <w:lang w:val="fr-FR"/>
        </w:rPr>
        <w:t>:</w:t>
      </w:r>
    </w:p>
    <w:p w14:paraId="45AAAB03" w14:textId="77777777" w:rsidR="00AA5974" w:rsidRPr="008C75F6" w:rsidRDefault="00AA5974" w:rsidP="009C65C3">
      <w:pPr>
        <w:pStyle w:val="BankNormal"/>
        <w:numPr>
          <w:ilvl w:val="3"/>
          <w:numId w:val="2"/>
        </w:numPr>
        <w:spacing w:before="80" w:after="80" w:line="240" w:lineRule="auto"/>
        <w:rPr>
          <w:b/>
          <w:bCs/>
          <w:color w:val="000000"/>
          <w:shd w:val="clear" w:color="auto" w:fill="FFFFFF"/>
          <w:lang w:val="fr-FR"/>
        </w:rPr>
      </w:pPr>
      <w:r w:rsidRPr="008C75F6">
        <w:rPr>
          <w:b/>
          <w:bCs/>
          <w:iCs/>
          <w:lang w:val="fr-FR"/>
        </w:rPr>
        <w:t>Lot 01</w:t>
      </w:r>
      <w:r w:rsidRPr="008C75F6">
        <w:rPr>
          <w:b/>
          <w:iCs/>
          <w:szCs w:val="24"/>
          <w:lang w:val="fr-FR"/>
        </w:rPr>
        <w:t> :</w:t>
      </w:r>
      <w:r w:rsidRPr="008C75F6">
        <w:rPr>
          <w:b/>
          <w:bCs/>
          <w:color w:val="000000"/>
          <w:shd w:val="clear" w:color="auto" w:fill="FFFFFF"/>
          <w:lang w:val="fr-FR"/>
        </w:rPr>
        <w:t xml:space="preserve"> 1 000 000 MRU ;</w:t>
      </w:r>
    </w:p>
    <w:p w14:paraId="3F6F7DE9" w14:textId="77777777" w:rsidR="00AA5974" w:rsidRPr="008C75F6" w:rsidRDefault="00AA5974" w:rsidP="009C65C3">
      <w:pPr>
        <w:pStyle w:val="BankNormal"/>
        <w:numPr>
          <w:ilvl w:val="3"/>
          <w:numId w:val="2"/>
        </w:numPr>
        <w:spacing w:before="80" w:after="80" w:line="240" w:lineRule="auto"/>
        <w:rPr>
          <w:b/>
          <w:bCs/>
          <w:color w:val="000000"/>
          <w:shd w:val="clear" w:color="auto" w:fill="FFFFFF"/>
          <w:lang w:val="fr-FR"/>
        </w:rPr>
      </w:pPr>
      <w:r w:rsidRPr="008C75F6">
        <w:rPr>
          <w:b/>
          <w:iCs/>
          <w:szCs w:val="24"/>
          <w:lang w:val="fr-FR"/>
        </w:rPr>
        <w:t>Lot 02 :</w:t>
      </w:r>
      <w:r w:rsidRPr="008C75F6">
        <w:rPr>
          <w:b/>
          <w:bCs/>
          <w:color w:val="000000"/>
          <w:shd w:val="clear" w:color="auto" w:fill="FFFFFF"/>
          <w:lang w:val="fr-FR"/>
        </w:rPr>
        <w:t xml:space="preserve"> 1 000 000 MRU </w:t>
      </w:r>
    </w:p>
    <w:p w14:paraId="333E3C18" w14:textId="77777777" w:rsidR="00AA5974" w:rsidRPr="008C75F6" w:rsidRDefault="00AA5974" w:rsidP="009C65C3">
      <w:pPr>
        <w:pStyle w:val="BankNormal"/>
        <w:numPr>
          <w:ilvl w:val="0"/>
          <w:numId w:val="1"/>
        </w:numPr>
        <w:spacing w:before="80" w:after="80" w:line="240" w:lineRule="auto"/>
        <w:rPr>
          <w:lang w:val="fr-FR"/>
        </w:rPr>
      </w:pPr>
      <w:r w:rsidRPr="008C75F6">
        <w:rPr>
          <w:lang w:val="fr-FR"/>
        </w:rPr>
        <w:t xml:space="preserve">Veuillez noter que le Règlement de Passation des Marchés exige que l’Emprunteur divulgue les informations sur les </w:t>
      </w:r>
      <w:hyperlink r:id="rId7" w:history="1">
        <w:r w:rsidRPr="008C75F6">
          <w:rPr>
            <w:lang w:val="fr-FR"/>
          </w:rPr>
          <w:t>propriétaires effectifs</w:t>
        </w:r>
      </w:hyperlink>
      <w:r w:rsidRPr="008C75F6">
        <w:rPr>
          <w:lang w:val="fr-FR"/>
        </w:rPr>
        <w:t xml:space="preserve"> du Proposant retenu, dans le cadre de l’avis de Notification d’Attribution de Marché, en renseignant le Formulaire de divulgation </w:t>
      </w:r>
      <w:hyperlink r:id="rId8" w:history="1">
        <w:r w:rsidRPr="008C75F6">
          <w:rPr>
            <w:lang w:val="fr-FR"/>
          </w:rPr>
          <w:t>des bénéficiaires effectifs</w:t>
        </w:r>
      </w:hyperlink>
      <w:r w:rsidRPr="008C75F6">
        <w:rPr>
          <w:lang w:val="fr-FR"/>
        </w:rPr>
        <w:t xml:space="preserve"> inclus dans le dossier de demande de propositions.</w:t>
      </w:r>
    </w:p>
    <w:p w14:paraId="7594467F" w14:textId="77777777" w:rsidR="00AA5974" w:rsidRPr="008C75F6" w:rsidRDefault="00AA5974" w:rsidP="009C65C3">
      <w:pPr>
        <w:pStyle w:val="BankNormal"/>
        <w:numPr>
          <w:ilvl w:val="0"/>
          <w:numId w:val="1"/>
        </w:numPr>
        <w:spacing w:before="80" w:after="80" w:line="240" w:lineRule="auto"/>
        <w:rPr>
          <w:lang w:val="fr-FR"/>
        </w:rPr>
      </w:pPr>
      <w:r w:rsidRPr="008C75F6">
        <w:rPr>
          <w:lang w:val="fr-FR"/>
        </w:rPr>
        <w:t xml:space="preserve">L’adresse mentionnée ci-dessus est : </w:t>
      </w:r>
    </w:p>
    <w:p w14:paraId="546177E9" w14:textId="77777777" w:rsidR="00AA5974" w:rsidRPr="008C75F6" w:rsidRDefault="00AA5974" w:rsidP="00AA5974">
      <w:pPr>
        <w:pStyle w:val="Paragraphedeliste"/>
        <w:tabs>
          <w:tab w:val="left" w:pos="-720"/>
        </w:tabs>
        <w:jc w:val="center"/>
        <w:rPr>
          <w:b/>
          <w:color w:val="000000"/>
          <w:spacing w:val="-2"/>
        </w:rPr>
      </w:pPr>
      <w:r w:rsidRPr="008C75F6">
        <w:rPr>
          <w:b/>
          <w:color w:val="000000"/>
          <w:spacing w:val="-2"/>
        </w:rPr>
        <w:t>Commission de Passation des Marchés Publics (CPMP-MTNMA),</w:t>
      </w:r>
    </w:p>
    <w:p w14:paraId="3A421690" w14:textId="77777777" w:rsidR="00AA5974" w:rsidRPr="00340B7E" w:rsidRDefault="00AA5974" w:rsidP="00AA5974">
      <w:pPr>
        <w:pStyle w:val="Paragraphedeliste"/>
        <w:tabs>
          <w:tab w:val="left" w:pos="-720"/>
        </w:tabs>
        <w:jc w:val="center"/>
        <w:rPr>
          <w:b/>
          <w:color w:val="000000"/>
          <w:spacing w:val="-2"/>
          <w:lang w:val="en-US"/>
        </w:rPr>
      </w:pPr>
      <w:proofErr w:type="spellStart"/>
      <w:r w:rsidRPr="00340B7E">
        <w:rPr>
          <w:b/>
          <w:color w:val="000000"/>
          <w:spacing w:val="-2"/>
          <w:lang w:val="en-US"/>
        </w:rPr>
        <w:t>Ilot</w:t>
      </w:r>
      <w:proofErr w:type="spellEnd"/>
      <w:r w:rsidRPr="00340B7E">
        <w:rPr>
          <w:b/>
          <w:color w:val="000000"/>
          <w:spacing w:val="-2"/>
          <w:lang w:val="en-US"/>
        </w:rPr>
        <w:t xml:space="preserve"> ZRC, LOT 418, Rue Moulaye El Hacen Ould MOCHTAR EL HACEN,</w:t>
      </w:r>
    </w:p>
    <w:p w14:paraId="146861E4" w14:textId="77777777" w:rsidR="00AA5974" w:rsidRPr="008C75F6" w:rsidRDefault="00AA5974" w:rsidP="00AA5974">
      <w:pPr>
        <w:pStyle w:val="Paragraphedeliste"/>
        <w:tabs>
          <w:tab w:val="left" w:pos="-720"/>
        </w:tabs>
        <w:jc w:val="center"/>
        <w:rPr>
          <w:b/>
          <w:color w:val="000000"/>
          <w:spacing w:val="-2"/>
        </w:rPr>
      </w:pPr>
      <w:r w:rsidRPr="008C75F6">
        <w:rPr>
          <w:b/>
          <w:color w:val="000000"/>
          <w:spacing w:val="-2"/>
        </w:rPr>
        <w:t>Nouakchott Mauritanie. Tel : +222 49 72 71 70,</w:t>
      </w:r>
    </w:p>
    <w:p w14:paraId="03801790" w14:textId="77777777" w:rsidR="00AA5974" w:rsidRPr="008C75F6" w:rsidRDefault="00AA5974" w:rsidP="00AA5974">
      <w:pPr>
        <w:tabs>
          <w:tab w:val="left" w:pos="-720"/>
        </w:tabs>
        <w:jc w:val="center"/>
        <w:rPr>
          <w:rStyle w:val="Lienhypertexte"/>
          <w:b/>
          <w:bCs/>
          <w:spacing w:val="-2"/>
        </w:rPr>
      </w:pPr>
      <w:r w:rsidRPr="008C75F6">
        <w:rPr>
          <w:b/>
          <w:color w:val="000000"/>
          <w:spacing w:val="-2"/>
        </w:rPr>
        <w:t xml:space="preserve">Courriel : </w:t>
      </w:r>
      <w:hyperlink r:id="rId9" w:history="1">
        <w:r w:rsidRPr="008C75F6">
          <w:rPr>
            <w:rStyle w:val="Lienhypertexte"/>
            <w:b/>
            <w:bCs/>
            <w:spacing w:val="-2"/>
          </w:rPr>
          <w:t>cpmp-mtnima@mtnima.gov.mr</w:t>
        </w:r>
      </w:hyperlink>
    </w:p>
    <w:sectPr w:rsidR="00AA5974" w:rsidRPr="008C75F6" w:rsidSect="00AA5974">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6749"/>
    <w:multiLevelType w:val="multilevel"/>
    <w:tmpl w:val="B2D05A94"/>
    <w:lvl w:ilvl="0">
      <w:start w:val="1"/>
      <w:numFmt w:val="decimal"/>
      <w:lvlText w:val="%1."/>
      <w:lvlJc w:val="left"/>
      <w:pPr>
        <w:ind w:left="360" w:hanging="360"/>
      </w:pPr>
    </w:lvl>
    <w:lvl w:ilvl="1">
      <w:start w:val="1"/>
      <w:numFmt w:val="decimal"/>
      <w:isLgl/>
      <w:lvlText w:val="%1.%2"/>
      <w:lvlJc w:val="left"/>
      <w:pPr>
        <w:ind w:left="368" w:hanging="368"/>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1" w15:restartNumberingAfterBreak="0">
    <w:nsid w:val="55457999"/>
    <w:multiLevelType w:val="hybridMultilevel"/>
    <w:tmpl w:val="ED0C85E0"/>
    <w:lvl w:ilvl="0" w:tplc="6080990E">
      <w:start w:val="1"/>
      <w:numFmt w:val="decimal"/>
      <w:lvlText w:val="%1."/>
      <w:lvlJc w:val="left"/>
      <w:pPr>
        <w:ind w:left="720" w:hanging="360"/>
      </w:pPr>
      <w:rPr>
        <w:rFonts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02F02"/>
    <w:multiLevelType w:val="hybridMultilevel"/>
    <w:tmpl w:val="1D64E3A0"/>
    <w:lvl w:ilvl="0" w:tplc="1B223EB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06089979">
    <w:abstractNumId w:val="0"/>
  </w:num>
  <w:num w:numId="2" w16cid:durableId="717820646">
    <w:abstractNumId w:val="1"/>
  </w:num>
  <w:num w:numId="3" w16cid:durableId="96006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74"/>
    <w:rsid w:val="000B7B2B"/>
    <w:rsid w:val="001B2B1B"/>
    <w:rsid w:val="00230828"/>
    <w:rsid w:val="005B4301"/>
    <w:rsid w:val="009C65C3"/>
    <w:rsid w:val="00AA59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CDF7"/>
  <w15:chartTrackingRefBased/>
  <w15:docId w15:val="{0F5DB5A4-1E71-44C9-A4DD-C14C43C30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74"/>
    <w:pPr>
      <w:spacing w:after="0" w:line="264" w:lineRule="auto"/>
      <w:jc w:val="both"/>
    </w:pPr>
    <w:rPr>
      <w:rFonts w:ascii="Calibri" w:eastAsia="MS Mincho" w:hAnsi="Calibri" w:cs="Times New Roman"/>
      <w:kern w:val="0"/>
      <w:szCs w:val="20"/>
      <w:lang w:eastAsia="fr-FR"/>
      <w14:ligatures w14:val="none"/>
    </w:rPr>
  </w:style>
  <w:style w:type="paragraph" w:styleId="Titre1">
    <w:name w:val="heading 1"/>
    <w:basedOn w:val="Normal"/>
    <w:next w:val="Normal"/>
    <w:link w:val="Titre1Car"/>
    <w:uiPriority w:val="9"/>
    <w:qFormat/>
    <w:rsid w:val="00AA5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A5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A59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59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A59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A597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A597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A597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A597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59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A59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A59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59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A59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A59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A59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A59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A5974"/>
    <w:rPr>
      <w:rFonts w:eastAsiaTheme="majorEastAsia" w:cstheme="majorBidi"/>
      <w:color w:val="272727" w:themeColor="text1" w:themeTint="D8"/>
    </w:rPr>
  </w:style>
  <w:style w:type="paragraph" w:styleId="Titre">
    <w:name w:val="Title"/>
    <w:basedOn w:val="Normal"/>
    <w:next w:val="Normal"/>
    <w:link w:val="TitreCar"/>
    <w:uiPriority w:val="10"/>
    <w:qFormat/>
    <w:rsid w:val="00AA5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A59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A59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A59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A5974"/>
    <w:pPr>
      <w:spacing w:before="160"/>
      <w:jc w:val="center"/>
    </w:pPr>
    <w:rPr>
      <w:i/>
      <w:iCs/>
      <w:color w:val="404040" w:themeColor="text1" w:themeTint="BF"/>
    </w:rPr>
  </w:style>
  <w:style w:type="character" w:customStyle="1" w:styleId="CitationCar">
    <w:name w:val="Citation Car"/>
    <w:basedOn w:val="Policepardfaut"/>
    <w:link w:val="Citation"/>
    <w:uiPriority w:val="29"/>
    <w:rsid w:val="00AA5974"/>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AA5974"/>
    <w:pPr>
      <w:ind w:left="720"/>
      <w:contextualSpacing/>
    </w:pPr>
  </w:style>
  <w:style w:type="character" w:styleId="Accentuationintense">
    <w:name w:val="Intense Emphasis"/>
    <w:basedOn w:val="Policepardfaut"/>
    <w:uiPriority w:val="21"/>
    <w:qFormat/>
    <w:rsid w:val="00AA5974"/>
    <w:rPr>
      <w:i/>
      <w:iCs/>
      <w:color w:val="0F4761" w:themeColor="accent1" w:themeShade="BF"/>
    </w:rPr>
  </w:style>
  <w:style w:type="paragraph" w:styleId="Citationintense">
    <w:name w:val="Intense Quote"/>
    <w:basedOn w:val="Normal"/>
    <w:next w:val="Normal"/>
    <w:link w:val="CitationintenseCar"/>
    <w:uiPriority w:val="30"/>
    <w:qFormat/>
    <w:rsid w:val="00AA5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A5974"/>
    <w:rPr>
      <w:i/>
      <w:iCs/>
      <w:color w:val="0F4761" w:themeColor="accent1" w:themeShade="BF"/>
    </w:rPr>
  </w:style>
  <w:style w:type="character" w:styleId="Rfrenceintense">
    <w:name w:val="Intense Reference"/>
    <w:basedOn w:val="Policepardfaut"/>
    <w:uiPriority w:val="32"/>
    <w:qFormat/>
    <w:rsid w:val="00AA5974"/>
    <w:rPr>
      <w:b/>
      <w:bCs/>
      <w:smallCaps/>
      <w:color w:val="0F4761" w:themeColor="accent1" w:themeShade="BF"/>
      <w:spacing w:val="5"/>
    </w:rPr>
  </w:style>
  <w:style w:type="paragraph" w:customStyle="1" w:styleId="BankNormal">
    <w:name w:val="BankNormal"/>
    <w:basedOn w:val="Normal"/>
    <w:rsid w:val="00AA5974"/>
    <w:pPr>
      <w:spacing w:after="240"/>
    </w:pPr>
    <w:rPr>
      <w:lang w:val="en-US"/>
    </w:rPr>
  </w:style>
  <w:style w:type="character" w:styleId="Lienhypertexte">
    <w:name w:val="Hyperlink"/>
    <w:uiPriority w:val="99"/>
    <w:qFormat/>
    <w:rsid w:val="00AA5974"/>
    <w:rPr>
      <w:rFonts w:ascii="Times New Roman" w:hAnsi="Times New Roman"/>
      <w:color w:val="0000FF"/>
      <w:sz w:val="24"/>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AA5974"/>
  </w:style>
  <w:style w:type="paragraph" w:styleId="Corpsdetexte">
    <w:name w:val="Body Text"/>
    <w:basedOn w:val="Normal"/>
    <w:link w:val="CorpsdetexteCar"/>
    <w:uiPriority w:val="1"/>
    <w:qFormat/>
    <w:rsid w:val="00AA5974"/>
    <w:pPr>
      <w:widowControl w:val="0"/>
      <w:autoSpaceDE w:val="0"/>
      <w:autoSpaceDN w:val="0"/>
      <w:spacing w:line="240" w:lineRule="auto"/>
      <w:jc w:val="left"/>
    </w:pPr>
    <w:rPr>
      <w:rFonts w:ascii="Times New Roman" w:eastAsia="Times New Roman" w:hAnsi="Times New Roman"/>
      <w:sz w:val="24"/>
      <w:szCs w:val="24"/>
      <w:lang w:val="en-GB" w:eastAsia="en-US"/>
    </w:rPr>
  </w:style>
  <w:style w:type="character" w:customStyle="1" w:styleId="CorpsdetexteCar">
    <w:name w:val="Corps de texte Car"/>
    <w:basedOn w:val="Policepardfaut"/>
    <w:link w:val="Corpsdetexte"/>
    <w:uiPriority w:val="1"/>
    <w:rsid w:val="00AA5974"/>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xt.reverso.net/traduction/francais-anglais/des+b%C3%A9n%C3%A9ficiaires+effectifs" TargetMode="External"/><Relationship Id="rId3" Type="http://schemas.openxmlformats.org/officeDocument/2006/relationships/settings" Target="settings.xml"/><Relationship Id="rId7" Type="http://schemas.openxmlformats.org/officeDocument/2006/relationships/hyperlink" Target="http://context.reverso.net/traduction/francais-anglais/des+b%C3%A9n%C3%A9ficiaires+effecti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rdip@mtnima.gov.m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PMP-MTNIMA@mtnima.gov.m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795</Words>
  <Characters>4378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Lemine Ould Salihi</dc:creator>
  <cp:keywords/>
  <dc:description/>
  <cp:lastModifiedBy>Mohamed Lemine Ould Salihi</cp:lastModifiedBy>
  <cp:revision>1</cp:revision>
  <dcterms:created xsi:type="dcterms:W3CDTF">2026-04-27T08:25:00Z</dcterms:created>
  <dcterms:modified xsi:type="dcterms:W3CDTF">2026-04-27T08:43:00Z</dcterms:modified>
</cp:coreProperties>
</file>